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35F" w:rsidRDefault="009B135F" w:rsidP="008D659E">
      <w:pPr>
        <w:spacing w:after="120"/>
        <w:jc w:val="center"/>
        <w:rPr>
          <w:b/>
          <w:sz w:val="22"/>
        </w:rPr>
      </w:pPr>
      <w:r>
        <w:rPr>
          <w:b/>
          <w:sz w:val="22"/>
        </w:rPr>
        <w:t>NOTI</w:t>
      </w:r>
      <w:r w:rsidR="00B45EAB">
        <w:rPr>
          <w:b/>
          <w:sz w:val="22"/>
        </w:rPr>
        <w:t>CING GOOD TEACHING REFLECTION #5</w:t>
      </w:r>
      <w:r>
        <w:rPr>
          <w:b/>
          <w:sz w:val="22"/>
        </w:rPr>
        <w:t xml:space="preserve"> </w:t>
      </w:r>
    </w:p>
    <w:p w:rsidR="006A74EE" w:rsidRPr="006406BA" w:rsidRDefault="00B45EAB" w:rsidP="008D659E">
      <w:pPr>
        <w:spacing w:after="120"/>
        <w:jc w:val="center"/>
        <w:rPr>
          <w:b/>
          <w:sz w:val="22"/>
        </w:rPr>
      </w:pPr>
      <w:r>
        <w:rPr>
          <w:b/>
          <w:sz w:val="22"/>
        </w:rPr>
        <w:t xml:space="preserve">Embedding Effective </w:t>
      </w:r>
      <w:r w:rsidR="00403795">
        <w:rPr>
          <w:b/>
          <w:sz w:val="22"/>
        </w:rPr>
        <w:t xml:space="preserve">Literacy </w:t>
      </w:r>
      <w:r>
        <w:rPr>
          <w:b/>
          <w:sz w:val="22"/>
        </w:rPr>
        <w:t xml:space="preserve">Practices Into </w:t>
      </w:r>
      <w:r w:rsidR="00E4207D">
        <w:rPr>
          <w:b/>
          <w:sz w:val="22"/>
        </w:rPr>
        <w:t>Classroom Instructional Routines</w:t>
      </w:r>
      <w:r w:rsidR="009B135F">
        <w:rPr>
          <w:b/>
          <w:sz w:val="22"/>
        </w:rPr>
        <w:t xml:space="preserve"> </w:t>
      </w:r>
    </w:p>
    <w:p w:rsidR="009B135F" w:rsidRDefault="00076E28" w:rsidP="009B135F">
      <w:pPr>
        <w:rPr>
          <w:sz w:val="22"/>
        </w:rPr>
      </w:pPr>
      <w:r>
        <w:rPr>
          <w:sz w:val="22"/>
        </w:rPr>
        <w:t>U</w:t>
      </w:r>
      <w:r w:rsidR="007B0821">
        <w:rPr>
          <w:sz w:val="22"/>
        </w:rPr>
        <w:t xml:space="preserve">se the </w:t>
      </w:r>
      <w:r>
        <w:rPr>
          <w:sz w:val="22"/>
        </w:rPr>
        <w:t xml:space="preserve">big </w:t>
      </w:r>
      <w:r w:rsidR="007B0821">
        <w:rPr>
          <w:sz w:val="22"/>
        </w:rPr>
        <w:t>ideas from this semester</w:t>
      </w:r>
      <w:r w:rsidR="003D70BC">
        <w:rPr>
          <w:sz w:val="22"/>
        </w:rPr>
        <w:t xml:space="preserve"> to identify key instructional practices </w:t>
      </w:r>
      <w:r w:rsidR="00E378D7">
        <w:rPr>
          <w:sz w:val="22"/>
        </w:rPr>
        <w:t>that reflect effective literacy instruction</w:t>
      </w:r>
      <w:r w:rsidR="003D70BC">
        <w:rPr>
          <w:sz w:val="22"/>
        </w:rPr>
        <w:t xml:space="preserve"> in the two Classroom Snapshots in Chapter 10.  Identify </w:t>
      </w:r>
      <w:r w:rsidR="003D70BC" w:rsidRPr="00642E14">
        <w:rPr>
          <w:b/>
          <w:sz w:val="22"/>
        </w:rPr>
        <w:t>two practices</w:t>
      </w:r>
      <w:r w:rsidR="003D70BC">
        <w:rPr>
          <w:sz w:val="22"/>
        </w:rPr>
        <w:t xml:space="preserve"> in the snapshot of Doug Brown’s Interactive Read-</w:t>
      </w:r>
      <w:proofErr w:type="spellStart"/>
      <w:r w:rsidR="003D70BC">
        <w:rPr>
          <w:sz w:val="22"/>
        </w:rPr>
        <w:t>Alouds</w:t>
      </w:r>
      <w:proofErr w:type="spellEnd"/>
      <w:r w:rsidR="003D70BC">
        <w:rPr>
          <w:sz w:val="22"/>
        </w:rPr>
        <w:t xml:space="preserve"> (p. 312-317) and </w:t>
      </w:r>
      <w:r w:rsidR="003D70BC" w:rsidRPr="00642E14">
        <w:rPr>
          <w:b/>
          <w:sz w:val="22"/>
        </w:rPr>
        <w:t xml:space="preserve">two </w:t>
      </w:r>
      <w:r w:rsidR="00642E14" w:rsidRPr="00642E14">
        <w:rPr>
          <w:b/>
          <w:sz w:val="22"/>
        </w:rPr>
        <w:t xml:space="preserve">different </w:t>
      </w:r>
      <w:r w:rsidR="003D70BC" w:rsidRPr="00642E14">
        <w:rPr>
          <w:b/>
          <w:sz w:val="22"/>
        </w:rPr>
        <w:t>practices</w:t>
      </w:r>
      <w:r w:rsidR="003D70BC">
        <w:rPr>
          <w:sz w:val="22"/>
        </w:rPr>
        <w:t xml:space="preserve"> in the snapshot of Lois Kelly’s preparations for Daily Engaged Independent Reading (p. 326-329)</w:t>
      </w:r>
      <w:r w:rsidR="00E4207D">
        <w:rPr>
          <w:sz w:val="22"/>
        </w:rPr>
        <w:t xml:space="preserve">. </w:t>
      </w:r>
      <w:r w:rsidR="003C5F43" w:rsidRPr="003C5F43">
        <w:rPr>
          <w:sz w:val="22"/>
        </w:rPr>
        <w:t xml:space="preserve">For each practice, explain in 2-3 sentences why this practice represents </w:t>
      </w:r>
      <w:r w:rsidR="009C6722">
        <w:rPr>
          <w:sz w:val="22"/>
        </w:rPr>
        <w:t xml:space="preserve">aspects of </w:t>
      </w:r>
      <w:r w:rsidR="003C5F43" w:rsidRPr="003C5F43">
        <w:rPr>
          <w:sz w:val="22"/>
        </w:rPr>
        <w:t>good reading comprehension instruction</w:t>
      </w:r>
      <w:r w:rsidR="003C5F43">
        <w:rPr>
          <w:sz w:val="22"/>
        </w:rPr>
        <w:t xml:space="preserve">. </w:t>
      </w:r>
      <w:r w:rsidR="001B5342">
        <w:rPr>
          <w:sz w:val="22"/>
        </w:rPr>
        <w:t xml:space="preserve"> Please </w:t>
      </w:r>
      <w:r w:rsidR="001B5342" w:rsidRPr="00B14CB0">
        <w:rPr>
          <w:b/>
          <w:sz w:val="22"/>
        </w:rPr>
        <w:t xml:space="preserve">TYPE </w:t>
      </w:r>
      <w:r w:rsidR="001B5342">
        <w:rPr>
          <w:sz w:val="22"/>
        </w:rPr>
        <w:t xml:space="preserve">your answers into this template. </w:t>
      </w:r>
      <w:r w:rsidR="009B135F">
        <w:rPr>
          <w:sz w:val="22"/>
        </w:rPr>
        <w:br/>
      </w:r>
    </w:p>
    <w:tbl>
      <w:tblPr>
        <w:tblStyle w:val="TableGrid"/>
        <w:tblW w:w="0" w:type="auto"/>
        <w:tblLook w:val="00BF"/>
      </w:tblPr>
      <w:tblGrid>
        <w:gridCol w:w="4068"/>
        <w:gridCol w:w="5508"/>
      </w:tblGrid>
      <w:tr w:rsidR="003C5F43" w:rsidRPr="00160A8C">
        <w:tc>
          <w:tcPr>
            <w:tcW w:w="4068" w:type="dxa"/>
          </w:tcPr>
          <w:p w:rsidR="003C5F43" w:rsidRPr="00160A8C" w:rsidRDefault="003C5F43" w:rsidP="00DE6340">
            <w:pPr>
              <w:jc w:val="center"/>
              <w:rPr>
                <w:b/>
                <w:sz w:val="22"/>
              </w:rPr>
            </w:pPr>
            <w:r w:rsidRPr="00160A8C">
              <w:rPr>
                <w:b/>
                <w:sz w:val="22"/>
              </w:rPr>
              <w:t xml:space="preserve">Instructional Practice </w:t>
            </w:r>
          </w:p>
        </w:tc>
        <w:tc>
          <w:tcPr>
            <w:tcW w:w="5508" w:type="dxa"/>
          </w:tcPr>
          <w:p w:rsidR="003C5F43" w:rsidRPr="00160A8C" w:rsidRDefault="003C5F43" w:rsidP="00DE6340">
            <w:pPr>
              <w:jc w:val="center"/>
              <w:rPr>
                <w:b/>
                <w:sz w:val="22"/>
              </w:rPr>
            </w:pPr>
            <w:r w:rsidRPr="00160A8C">
              <w:rPr>
                <w:b/>
                <w:sz w:val="22"/>
              </w:rPr>
              <w:t xml:space="preserve">Why is it effective?  </w:t>
            </w:r>
          </w:p>
          <w:p w:rsidR="003C5F43" w:rsidRPr="00160A8C" w:rsidRDefault="003C5F43" w:rsidP="00DE6340">
            <w:pPr>
              <w:jc w:val="center"/>
              <w:rPr>
                <w:b/>
                <w:sz w:val="22"/>
              </w:rPr>
            </w:pPr>
            <w:r w:rsidRPr="00160A8C">
              <w:rPr>
                <w:b/>
                <w:sz w:val="22"/>
              </w:rPr>
              <w:t>What principles support this practice?</w:t>
            </w:r>
          </w:p>
        </w:tc>
      </w:tr>
      <w:tr w:rsidR="003C5F43">
        <w:tc>
          <w:tcPr>
            <w:tcW w:w="4068" w:type="dxa"/>
          </w:tcPr>
          <w:p w:rsidR="003C5F43" w:rsidRPr="003C5F43" w:rsidRDefault="003C5F43">
            <w:pPr>
              <w:rPr>
                <w:sz w:val="22"/>
              </w:rPr>
            </w:pPr>
            <w:r w:rsidRPr="003C5F43">
              <w:rPr>
                <w:sz w:val="22"/>
              </w:rPr>
              <w:t>1.</w:t>
            </w:r>
          </w:p>
          <w:p w:rsidR="003C5F43" w:rsidRPr="003C5F43" w:rsidRDefault="003C5F43">
            <w:pPr>
              <w:rPr>
                <w:sz w:val="22"/>
              </w:rPr>
            </w:pPr>
          </w:p>
          <w:p w:rsidR="003C5F43" w:rsidRPr="003C5F43" w:rsidRDefault="003C5F43">
            <w:pPr>
              <w:rPr>
                <w:sz w:val="22"/>
              </w:rPr>
            </w:pPr>
          </w:p>
          <w:p w:rsidR="003C5F43" w:rsidRPr="003C5F43" w:rsidRDefault="003C5F43">
            <w:pPr>
              <w:rPr>
                <w:sz w:val="22"/>
              </w:rPr>
            </w:pPr>
          </w:p>
          <w:p w:rsidR="003C5F43" w:rsidRPr="003C5F43" w:rsidRDefault="003C5F43">
            <w:pPr>
              <w:rPr>
                <w:sz w:val="22"/>
              </w:rPr>
            </w:pPr>
          </w:p>
        </w:tc>
        <w:tc>
          <w:tcPr>
            <w:tcW w:w="5508" w:type="dxa"/>
          </w:tcPr>
          <w:p w:rsidR="003C5F43" w:rsidRDefault="003C5F43"/>
          <w:p w:rsidR="003C5F43" w:rsidRDefault="003C5F43"/>
          <w:p w:rsidR="003C5F43" w:rsidRDefault="003C5F43"/>
          <w:p w:rsidR="003C5F43" w:rsidRDefault="003C5F43"/>
          <w:p w:rsidR="003C5F43" w:rsidRDefault="003C5F43"/>
          <w:p w:rsidR="003C5F43" w:rsidRDefault="003C5F43"/>
          <w:p w:rsidR="003C5F43" w:rsidRDefault="003C5F43"/>
          <w:p w:rsidR="003C5F43" w:rsidRDefault="003C5F43"/>
          <w:p w:rsidR="003C5F43" w:rsidRDefault="003C5F43"/>
        </w:tc>
      </w:tr>
      <w:tr w:rsidR="003C5F43">
        <w:tc>
          <w:tcPr>
            <w:tcW w:w="4068" w:type="dxa"/>
          </w:tcPr>
          <w:p w:rsidR="003C5F43" w:rsidRPr="003C5F43" w:rsidRDefault="003C5F43">
            <w:pPr>
              <w:rPr>
                <w:sz w:val="22"/>
              </w:rPr>
            </w:pPr>
            <w:r w:rsidRPr="003C5F43">
              <w:rPr>
                <w:sz w:val="22"/>
              </w:rPr>
              <w:t>2.</w:t>
            </w:r>
          </w:p>
          <w:p w:rsidR="003C5F43" w:rsidRPr="003C5F43" w:rsidRDefault="003C5F43">
            <w:pPr>
              <w:rPr>
                <w:sz w:val="22"/>
              </w:rPr>
            </w:pPr>
          </w:p>
          <w:p w:rsidR="003C5F43" w:rsidRPr="003C5F43" w:rsidRDefault="003C5F43">
            <w:pPr>
              <w:rPr>
                <w:sz w:val="22"/>
              </w:rPr>
            </w:pPr>
          </w:p>
          <w:p w:rsidR="003C5F43" w:rsidRPr="003C5F43" w:rsidRDefault="003C5F43">
            <w:pPr>
              <w:rPr>
                <w:sz w:val="22"/>
              </w:rPr>
            </w:pPr>
          </w:p>
          <w:p w:rsidR="003C5F43" w:rsidRPr="003C5F43" w:rsidRDefault="003C5F43">
            <w:pPr>
              <w:rPr>
                <w:sz w:val="22"/>
              </w:rPr>
            </w:pPr>
          </w:p>
        </w:tc>
        <w:tc>
          <w:tcPr>
            <w:tcW w:w="5508" w:type="dxa"/>
          </w:tcPr>
          <w:p w:rsidR="003C5F43" w:rsidRDefault="003C5F43"/>
          <w:p w:rsidR="003C5F43" w:rsidRDefault="003C5F43"/>
          <w:p w:rsidR="003C5F43" w:rsidRDefault="003C5F43"/>
          <w:p w:rsidR="003C5F43" w:rsidRDefault="003C5F43"/>
          <w:p w:rsidR="003C5F43" w:rsidRDefault="003C5F43"/>
          <w:p w:rsidR="003C5F43" w:rsidRDefault="003C5F43"/>
          <w:p w:rsidR="003C5F43" w:rsidRDefault="003C5F43"/>
          <w:p w:rsidR="003C5F43" w:rsidRDefault="003C5F43"/>
          <w:p w:rsidR="003C5F43" w:rsidRDefault="003C5F43"/>
        </w:tc>
      </w:tr>
      <w:tr w:rsidR="003C5F43">
        <w:tc>
          <w:tcPr>
            <w:tcW w:w="4068" w:type="dxa"/>
          </w:tcPr>
          <w:p w:rsidR="003C5F43" w:rsidRPr="003C5F43" w:rsidRDefault="003C5F43">
            <w:pPr>
              <w:rPr>
                <w:sz w:val="22"/>
              </w:rPr>
            </w:pPr>
            <w:r w:rsidRPr="003C5F43">
              <w:rPr>
                <w:sz w:val="22"/>
              </w:rPr>
              <w:t>3.</w:t>
            </w:r>
          </w:p>
          <w:p w:rsidR="003C5F43" w:rsidRPr="003C5F43" w:rsidRDefault="003C5F43">
            <w:pPr>
              <w:rPr>
                <w:sz w:val="22"/>
              </w:rPr>
            </w:pPr>
          </w:p>
          <w:p w:rsidR="003C5F43" w:rsidRPr="003C5F43" w:rsidRDefault="003C5F43">
            <w:pPr>
              <w:rPr>
                <w:sz w:val="22"/>
              </w:rPr>
            </w:pPr>
          </w:p>
          <w:p w:rsidR="003C5F43" w:rsidRPr="003C5F43" w:rsidRDefault="003C5F43">
            <w:pPr>
              <w:rPr>
                <w:sz w:val="22"/>
              </w:rPr>
            </w:pPr>
          </w:p>
          <w:p w:rsidR="003C5F43" w:rsidRPr="003C5F43" w:rsidRDefault="003C5F43">
            <w:pPr>
              <w:rPr>
                <w:sz w:val="22"/>
              </w:rPr>
            </w:pPr>
          </w:p>
        </w:tc>
        <w:tc>
          <w:tcPr>
            <w:tcW w:w="5508" w:type="dxa"/>
          </w:tcPr>
          <w:p w:rsidR="003C5F43" w:rsidRDefault="003C5F43"/>
          <w:p w:rsidR="003C5F43" w:rsidRDefault="003C5F43"/>
          <w:p w:rsidR="003C5F43" w:rsidRDefault="003C5F43"/>
          <w:p w:rsidR="003C5F43" w:rsidRDefault="003C5F43"/>
          <w:p w:rsidR="003C5F43" w:rsidRDefault="003C5F43"/>
          <w:p w:rsidR="003C5F43" w:rsidRDefault="003C5F43"/>
          <w:p w:rsidR="003C5F43" w:rsidRDefault="003C5F43"/>
          <w:p w:rsidR="003C5F43" w:rsidRDefault="003C5F43"/>
          <w:p w:rsidR="003C5F43" w:rsidRDefault="003C5F43"/>
        </w:tc>
      </w:tr>
      <w:tr w:rsidR="003C5F43">
        <w:tc>
          <w:tcPr>
            <w:tcW w:w="4068" w:type="dxa"/>
          </w:tcPr>
          <w:p w:rsidR="003C5F43" w:rsidRDefault="003C5F43">
            <w:pPr>
              <w:rPr>
                <w:sz w:val="22"/>
              </w:rPr>
            </w:pPr>
            <w:r>
              <w:rPr>
                <w:sz w:val="22"/>
              </w:rPr>
              <w:t xml:space="preserve">4. </w:t>
            </w:r>
          </w:p>
          <w:p w:rsidR="003C5F43" w:rsidRDefault="003C5F43">
            <w:pPr>
              <w:rPr>
                <w:sz w:val="22"/>
              </w:rPr>
            </w:pPr>
          </w:p>
          <w:p w:rsidR="003C5F43" w:rsidRDefault="003C5F43">
            <w:pPr>
              <w:rPr>
                <w:sz w:val="22"/>
              </w:rPr>
            </w:pPr>
          </w:p>
          <w:p w:rsidR="003C5F43" w:rsidRDefault="003C5F43">
            <w:pPr>
              <w:rPr>
                <w:sz w:val="22"/>
              </w:rPr>
            </w:pPr>
          </w:p>
          <w:p w:rsidR="003C5F43" w:rsidRDefault="003C5F43">
            <w:pPr>
              <w:rPr>
                <w:sz w:val="22"/>
              </w:rPr>
            </w:pPr>
          </w:p>
          <w:p w:rsidR="003C5F43" w:rsidRDefault="003C5F43">
            <w:pPr>
              <w:rPr>
                <w:sz w:val="22"/>
              </w:rPr>
            </w:pPr>
          </w:p>
          <w:p w:rsidR="003C5F43" w:rsidRDefault="003C5F43">
            <w:pPr>
              <w:rPr>
                <w:sz w:val="22"/>
              </w:rPr>
            </w:pPr>
          </w:p>
          <w:p w:rsidR="003C5F43" w:rsidRDefault="003C5F43">
            <w:pPr>
              <w:rPr>
                <w:sz w:val="22"/>
              </w:rPr>
            </w:pPr>
          </w:p>
          <w:p w:rsidR="003C5F43" w:rsidRDefault="003C5F43">
            <w:pPr>
              <w:rPr>
                <w:sz w:val="22"/>
              </w:rPr>
            </w:pPr>
          </w:p>
          <w:p w:rsidR="003C5F43" w:rsidRPr="003C5F43" w:rsidRDefault="003C5F43">
            <w:pPr>
              <w:rPr>
                <w:sz w:val="22"/>
              </w:rPr>
            </w:pPr>
          </w:p>
        </w:tc>
        <w:tc>
          <w:tcPr>
            <w:tcW w:w="5508" w:type="dxa"/>
          </w:tcPr>
          <w:p w:rsidR="003C5F43" w:rsidRDefault="003C5F43"/>
        </w:tc>
      </w:tr>
    </w:tbl>
    <w:p w:rsidR="00DE6340" w:rsidRDefault="00DE6340">
      <w:pPr>
        <w:rPr>
          <w:sz w:val="22"/>
        </w:rPr>
      </w:pPr>
      <w:r>
        <w:rPr>
          <w:sz w:val="22"/>
        </w:rPr>
        <w:tab/>
      </w:r>
    </w:p>
    <w:p w:rsidR="00DE6340" w:rsidRDefault="00DE6340">
      <w:pPr>
        <w:rPr>
          <w:sz w:val="22"/>
        </w:rPr>
      </w:pPr>
    </w:p>
    <w:p w:rsidR="00076E28" w:rsidRDefault="00076E28">
      <w:pPr>
        <w:rPr>
          <w:sz w:val="22"/>
        </w:rPr>
      </w:pPr>
    </w:p>
    <w:p w:rsidR="00724375" w:rsidRDefault="00076E28">
      <w:pPr>
        <w:rPr>
          <w:sz w:val="22"/>
        </w:rPr>
      </w:pPr>
      <w:r>
        <w:rPr>
          <w:sz w:val="22"/>
        </w:rPr>
        <w:t>Now that your semester is coming to a close,</w:t>
      </w:r>
      <w:r w:rsidR="001B5342">
        <w:rPr>
          <w:sz w:val="22"/>
        </w:rPr>
        <w:t xml:space="preserve"> please think back over the semester and use the framework below to reflect on </w:t>
      </w:r>
      <w:r w:rsidR="00B444BC">
        <w:rPr>
          <w:sz w:val="22"/>
        </w:rPr>
        <w:t>how</w:t>
      </w:r>
      <w:r w:rsidR="000F11A5">
        <w:rPr>
          <w:sz w:val="22"/>
        </w:rPr>
        <w:t xml:space="preserve"> your </w:t>
      </w:r>
      <w:r w:rsidR="001B5342">
        <w:rPr>
          <w:sz w:val="22"/>
        </w:rPr>
        <w:t xml:space="preserve">thinking </w:t>
      </w:r>
      <w:r w:rsidR="000F11A5">
        <w:rPr>
          <w:sz w:val="22"/>
        </w:rPr>
        <w:t xml:space="preserve">has changed </w:t>
      </w:r>
      <w:r w:rsidR="001B5342">
        <w:rPr>
          <w:sz w:val="22"/>
        </w:rPr>
        <w:t xml:space="preserve">about reading comprehension instruction in </w:t>
      </w:r>
      <w:r w:rsidR="000F11A5">
        <w:rPr>
          <w:sz w:val="22"/>
        </w:rPr>
        <w:t xml:space="preserve">elementary school.  </w:t>
      </w:r>
      <w:r w:rsidR="00724375">
        <w:rPr>
          <w:sz w:val="22"/>
        </w:rPr>
        <w:t>You might consider</w:t>
      </w:r>
      <w:r w:rsidR="00E35F0B">
        <w:rPr>
          <w:sz w:val="22"/>
        </w:rPr>
        <w:t>, for example,</w:t>
      </w:r>
      <w:r w:rsidR="00724375">
        <w:rPr>
          <w:sz w:val="22"/>
        </w:rPr>
        <w:t xml:space="preserve"> ideas about </w:t>
      </w:r>
      <w:r w:rsidR="00E35F0B">
        <w:rPr>
          <w:sz w:val="22"/>
        </w:rPr>
        <w:t>teacher’s beliefs, ways of defining reading, classroom literacy spaces, motivation, differentiation, explicit instruction, higher-level thinking and discussion, diverse responses, and/</w:t>
      </w:r>
      <w:r w:rsidR="00D34CA0">
        <w:rPr>
          <w:sz w:val="22"/>
        </w:rPr>
        <w:t>or the use of technology – but there may very well be other areas that better capture your thinking.</w:t>
      </w:r>
      <w:r w:rsidR="00E35F0B">
        <w:rPr>
          <w:sz w:val="22"/>
        </w:rPr>
        <w:t xml:space="preserve"> </w:t>
      </w:r>
      <w:r w:rsidR="00CF4069">
        <w:rPr>
          <w:sz w:val="22"/>
        </w:rPr>
        <w:t>There is certainly no correct answer</w:t>
      </w:r>
      <w:r w:rsidR="004F115F">
        <w:rPr>
          <w:sz w:val="22"/>
        </w:rPr>
        <w:t xml:space="preserve"> for this assignment</w:t>
      </w:r>
      <w:r w:rsidR="00CF4069">
        <w:rPr>
          <w:sz w:val="22"/>
        </w:rPr>
        <w:t xml:space="preserve">, </w:t>
      </w:r>
      <w:r w:rsidR="00F33F26">
        <w:rPr>
          <w:sz w:val="22"/>
        </w:rPr>
        <w:t>as long as your</w:t>
      </w:r>
      <w:r w:rsidR="00CF4069">
        <w:rPr>
          <w:sz w:val="22"/>
        </w:rPr>
        <w:t xml:space="preserve"> responses reflect your thoughtful consideration of the two “biggest ideas” </w:t>
      </w:r>
      <w:r w:rsidR="00EA44BB">
        <w:rPr>
          <w:sz w:val="22"/>
        </w:rPr>
        <w:t>and one “</w:t>
      </w:r>
      <w:r w:rsidR="005956B4">
        <w:rPr>
          <w:sz w:val="22"/>
        </w:rPr>
        <w:t>burning</w:t>
      </w:r>
      <w:r w:rsidR="00EA44BB">
        <w:rPr>
          <w:sz w:val="22"/>
        </w:rPr>
        <w:t xml:space="preserve"> question” </w:t>
      </w:r>
      <w:r w:rsidR="00CF4069">
        <w:rPr>
          <w:sz w:val="22"/>
        </w:rPr>
        <w:t xml:space="preserve">you will take with you </w:t>
      </w:r>
      <w:r w:rsidR="00D114D5">
        <w:rPr>
          <w:sz w:val="22"/>
        </w:rPr>
        <w:t>from</w:t>
      </w:r>
      <w:r w:rsidR="00CF4069">
        <w:rPr>
          <w:sz w:val="22"/>
        </w:rPr>
        <w:t xml:space="preserve"> this class into your student teaching experience.  </w:t>
      </w:r>
    </w:p>
    <w:p w:rsidR="00EA44BB" w:rsidRDefault="00724375">
      <w:pPr>
        <w:rPr>
          <w:sz w:val="22"/>
        </w:rPr>
      </w:pPr>
      <w:r w:rsidRPr="00EA44BB">
        <w:rPr>
          <w:b/>
          <w:sz w:val="22"/>
        </w:rPr>
        <w:t xml:space="preserve">Big Idea </w:t>
      </w:r>
      <w:r w:rsidR="00211DFA">
        <w:rPr>
          <w:b/>
          <w:sz w:val="22"/>
        </w:rPr>
        <w:t>#</w:t>
      </w:r>
      <w:r w:rsidRPr="00EA44BB">
        <w:rPr>
          <w:b/>
          <w:sz w:val="22"/>
        </w:rPr>
        <w:t>1.</w:t>
      </w:r>
      <w:r>
        <w:rPr>
          <w:sz w:val="22"/>
        </w:rPr>
        <w:t xml:space="preserve"> I used to think…</w:t>
      </w:r>
    </w:p>
    <w:p w:rsidR="00EA44BB" w:rsidRDefault="00EA44BB">
      <w:pPr>
        <w:rPr>
          <w:sz w:val="22"/>
        </w:rPr>
      </w:pPr>
    </w:p>
    <w:p w:rsidR="00EA44BB" w:rsidRDefault="00EA44BB">
      <w:pPr>
        <w:rPr>
          <w:sz w:val="22"/>
        </w:rPr>
      </w:pPr>
    </w:p>
    <w:p w:rsidR="00724375" w:rsidRDefault="00724375">
      <w:pPr>
        <w:rPr>
          <w:sz w:val="22"/>
        </w:rPr>
      </w:pPr>
    </w:p>
    <w:p w:rsidR="00EA44BB" w:rsidRDefault="00724375">
      <w:pPr>
        <w:rPr>
          <w:sz w:val="22"/>
        </w:rPr>
      </w:pPr>
      <w:r>
        <w:rPr>
          <w:sz w:val="22"/>
        </w:rPr>
        <w:t>Now I think…</w:t>
      </w:r>
    </w:p>
    <w:p w:rsidR="00EA44BB" w:rsidRDefault="00EA44BB">
      <w:pPr>
        <w:rPr>
          <w:sz w:val="22"/>
        </w:rPr>
      </w:pPr>
    </w:p>
    <w:p w:rsidR="00EA44BB" w:rsidRDefault="00EA44BB">
      <w:pPr>
        <w:rPr>
          <w:sz w:val="22"/>
        </w:rPr>
      </w:pPr>
    </w:p>
    <w:p w:rsidR="00EA44BB" w:rsidRDefault="00EA44BB">
      <w:pPr>
        <w:rPr>
          <w:sz w:val="22"/>
        </w:rPr>
      </w:pPr>
    </w:p>
    <w:p w:rsidR="00EA44BB" w:rsidRDefault="00EA44BB">
      <w:pPr>
        <w:rPr>
          <w:sz w:val="22"/>
        </w:rPr>
      </w:pPr>
    </w:p>
    <w:p w:rsidR="000666F6" w:rsidRDefault="000666F6">
      <w:pPr>
        <w:rPr>
          <w:b/>
          <w:sz w:val="22"/>
        </w:rPr>
      </w:pPr>
    </w:p>
    <w:p w:rsidR="00EA44BB" w:rsidRDefault="00211DFA">
      <w:pPr>
        <w:rPr>
          <w:sz w:val="22"/>
        </w:rPr>
      </w:pPr>
      <w:r>
        <w:rPr>
          <w:b/>
          <w:sz w:val="22"/>
        </w:rPr>
        <w:t>Big Idea #</w:t>
      </w:r>
      <w:r w:rsidR="00EA44BB" w:rsidRPr="00EA44BB">
        <w:rPr>
          <w:b/>
          <w:sz w:val="22"/>
        </w:rPr>
        <w:t>2.</w:t>
      </w:r>
      <w:r w:rsidR="00EA44BB">
        <w:rPr>
          <w:sz w:val="22"/>
        </w:rPr>
        <w:t xml:space="preserve">  I used to think….</w:t>
      </w:r>
    </w:p>
    <w:p w:rsidR="00EA44BB" w:rsidRDefault="00EA44BB">
      <w:pPr>
        <w:rPr>
          <w:sz w:val="22"/>
        </w:rPr>
      </w:pPr>
    </w:p>
    <w:p w:rsidR="00EA44BB" w:rsidRDefault="00EA44BB">
      <w:pPr>
        <w:rPr>
          <w:sz w:val="22"/>
        </w:rPr>
      </w:pPr>
    </w:p>
    <w:p w:rsidR="00EA44BB" w:rsidRDefault="00EA44BB">
      <w:pPr>
        <w:rPr>
          <w:sz w:val="22"/>
        </w:rPr>
      </w:pPr>
    </w:p>
    <w:p w:rsidR="002800D3" w:rsidRDefault="00EA44BB">
      <w:pPr>
        <w:rPr>
          <w:sz w:val="22"/>
        </w:rPr>
      </w:pPr>
      <w:r>
        <w:rPr>
          <w:sz w:val="22"/>
        </w:rPr>
        <w:t>Now I think…</w:t>
      </w:r>
    </w:p>
    <w:p w:rsidR="002800D3" w:rsidRDefault="002800D3">
      <w:pPr>
        <w:rPr>
          <w:sz w:val="22"/>
        </w:rPr>
      </w:pPr>
    </w:p>
    <w:p w:rsidR="002800D3" w:rsidRDefault="002800D3">
      <w:pPr>
        <w:rPr>
          <w:sz w:val="22"/>
        </w:rPr>
      </w:pPr>
    </w:p>
    <w:p w:rsidR="002800D3" w:rsidRDefault="002800D3">
      <w:pPr>
        <w:rPr>
          <w:sz w:val="22"/>
        </w:rPr>
      </w:pPr>
    </w:p>
    <w:p w:rsidR="002800D3" w:rsidRDefault="002800D3">
      <w:pPr>
        <w:rPr>
          <w:sz w:val="22"/>
        </w:rPr>
      </w:pPr>
    </w:p>
    <w:p w:rsidR="009D1630" w:rsidRPr="006A74EE" w:rsidRDefault="002800D3">
      <w:pPr>
        <w:rPr>
          <w:sz w:val="22"/>
        </w:rPr>
      </w:pPr>
      <w:r w:rsidRPr="00BF77ED">
        <w:rPr>
          <w:b/>
          <w:sz w:val="22"/>
        </w:rPr>
        <w:t>Burning Question</w:t>
      </w:r>
      <w:r>
        <w:rPr>
          <w:sz w:val="22"/>
        </w:rPr>
        <w:t xml:space="preserve">:  </w:t>
      </w:r>
    </w:p>
    <w:sectPr w:rsidR="009D1630" w:rsidRPr="006A74EE" w:rsidSect="003C5F43">
      <w:pgSz w:w="12240" w:h="15840"/>
      <w:pgMar w:top="864" w:right="1440" w:bottom="72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A74EE"/>
    <w:rsid w:val="000666F6"/>
    <w:rsid w:val="00076E28"/>
    <w:rsid w:val="000D4C61"/>
    <w:rsid w:val="000F11A5"/>
    <w:rsid w:val="00160A8C"/>
    <w:rsid w:val="00173D39"/>
    <w:rsid w:val="001B5342"/>
    <w:rsid w:val="00211DFA"/>
    <w:rsid w:val="00225F3E"/>
    <w:rsid w:val="002800D3"/>
    <w:rsid w:val="002E4A09"/>
    <w:rsid w:val="00396143"/>
    <w:rsid w:val="003C5F43"/>
    <w:rsid w:val="003C7731"/>
    <w:rsid w:val="003D70BC"/>
    <w:rsid w:val="00403795"/>
    <w:rsid w:val="00417A54"/>
    <w:rsid w:val="004F115F"/>
    <w:rsid w:val="004F2557"/>
    <w:rsid w:val="005956B4"/>
    <w:rsid w:val="005F53E1"/>
    <w:rsid w:val="00634E51"/>
    <w:rsid w:val="006406BA"/>
    <w:rsid w:val="00642E14"/>
    <w:rsid w:val="006A74EE"/>
    <w:rsid w:val="00724375"/>
    <w:rsid w:val="007B0821"/>
    <w:rsid w:val="008D659E"/>
    <w:rsid w:val="009B135F"/>
    <w:rsid w:val="009C6722"/>
    <w:rsid w:val="009D1630"/>
    <w:rsid w:val="00A91837"/>
    <w:rsid w:val="00B14CB0"/>
    <w:rsid w:val="00B444BC"/>
    <w:rsid w:val="00B45EAB"/>
    <w:rsid w:val="00B85566"/>
    <w:rsid w:val="00BF77ED"/>
    <w:rsid w:val="00CF4069"/>
    <w:rsid w:val="00D114D5"/>
    <w:rsid w:val="00D34CA0"/>
    <w:rsid w:val="00D774D3"/>
    <w:rsid w:val="00DE6340"/>
    <w:rsid w:val="00E10F46"/>
    <w:rsid w:val="00E35F0B"/>
    <w:rsid w:val="00E378D7"/>
    <w:rsid w:val="00E4207D"/>
    <w:rsid w:val="00EA44BB"/>
    <w:rsid w:val="00F33F26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A74EE"/>
    <w:pPr>
      <w:ind w:left="720"/>
      <w:contextualSpacing/>
    </w:pPr>
  </w:style>
  <w:style w:type="table" w:styleId="TableGrid">
    <w:name w:val="Table Grid"/>
    <w:basedOn w:val="TableNormal"/>
    <w:uiPriority w:val="59"/>
    <w:rsid w:val="00634E5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116</Words>
  <Characters>663</Characters>
  <Application>Microsoft Macintosh Word</Application>
  <DocSecurity>0</DocSecurity>
  <Lines>5</Lines>
  <Paragraphs>1</Paragraphs>
  <ScaleCrop>false</ScaleCrop>
  <Company>University of Rhode Island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31</cp:revision>
  <cp:lastPrinted>2011-09-07T02:31:00Z</cp:lastPrinted>
  <dcterms:created xsi:type="dcterms:W3CDTF">2011-12-06T01:24:00Z</dcterms:created>
  <dcterms:modified xsi:type="dcterms:W3CDTF">2011-12-06T02:02:00Z</dcterms:modified>
</cp:coreProperties>
</file>